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17" w:rsidRDefault="00DF1717" w:rsidP="00DF1717">
      <w:pPr>
        <w:tabs>
          <w:tab w:val="left" w:pos="133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Pr="00FD6D83">
        <w:rPr>
          <w:rFonts w:ascii="Times New Roman" w:hAnsi="Times New Roman"/>
          <w:b/>
          <w:sz w:val="26"/>
          <w:szCs w:val="26"/>
        </w:rPr>
        <w:t xml:space="preserve">Sub Code: </w:t>
      </w:r>
      <w:r>
        <w:rPr>
          <w:rFonts w:ascii="Times New Roman" w:hAnsi="Times New Roman"/>
          <w:b/>
          <w:sz w:val="26"/>
          <w:szCs w:val="26"/>
        </w:rPr>
        <w:t>443003</w:t>
      </w:r>
      <w:bookmarkStart w:id="0" w:name="_GoBack"/>
      <w:bookmarkEnd w:id="0"/>
    </w:p>
    <w:p w:rsidR="00DF1717" w:rsidRDefault="00DF1717" w:rsidP="00DF17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-210820</wp:posOffset>
            </wp:positionV>
            <wp:extent cx="590550" cy="777240"/>
            <wp:effectExtent l="0" t="0" r="0" b="3810"/>
            <wp:wrapSquare wrapText="bothSides"/>
            <wp:docPr id="1" name="Picture 1" descr="LOGO RGB  MON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GB  MONI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  <w:szCs w:val="26"/>
        </w:rPr>
        <w:t xml:space="preserve"> SARADA KRISHNA</w:t>
      </w:r>
    </w:p>
    <w:p w:rsidR="00DF1717" w:rsidRDefault="00DF1717" w:rsidP="00DF171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HOMOEOPATHIC MEDICAL COLLEGE</w:t>
      </w:r>
    </w:p>
    <w:p w:rsidR="00DF1717" w:rsidRDefault="00DF1717" w:rsidP="00DF1717">
      <w:pPr>
        <w:tabs>
          <w:tab w:val="left" w:pos="3000"/>
        </w:tabs>
        <w:spacing w:after="0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Kulasekharam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Kanyakumari</w:t>
      </w:r>
      <w:proofErr w:type="spellEnd"/>
      <w:r>
        <w:rPr>
          <w:rFonts w:ascii="Times New Roman" w:hAnsi="Times New Roman"/>
          <w:sz w:val="26"/>
          <w:szCs w:val="26"/>
        </w:rPr>
        <w:t xml:space="preserve"> Dist., Tamil Nadu - 629 161</w:t>
      </w:r>
    </w:p>
    <w:p w:rsidR="00DF1717" w:rsidRDefault="00DF1717" w:rsidP="00DF1717">
      <w:pPr>
        <w:tabs>
          <w:tab w:val="left" w:pos="1335"/>
        </w:tabs>
        <w:spacing w:after="0"/>
        <w:ind w:left="36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Pr="00A5454B">
        <w:rPr>
          <w:rFonts w:ascii="Times New Roman" w:hAnsi="Times New Roman"/>
          <w:i/>
        </w:rPr>
        <w:t xml:space="preserve">Accredited by NAAC, </w:t>
      </w:r>
      <w:r>
        <w:rPr>
          <w:rFonts w:ascii="Times New Roman" w:hAnsi="Times New Roman"/>
          <w:i/>
        </w:rPr>
        <w:t>with B+ Grade &amp; NABH</w:t>
      </w:r>
      <w:r w:rsidRPr="00A5454B">
        <w:rPr>
          <w:rFonts w:ascii="Times New Roman" w:hAnsi="Times New Roman"/>
          <w:i/>
        </w:rPr>
        <w:t>)</w:t>
      </w:r>
    </w:p>
    <w:p w:rsidR="00DF1717" w:rsidRDefault="00DF1717" w:rsidP="00DF1717">
      <w:pPr>
        <w:tabs>
          <w:tab w:val="left" w:pos="1335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M</w:t>
      </w:r>
      <w:r w:rsidRPr="00571D03">
        <w:rPr>
          <w:rFonts w:ascii="Times New Roman" w:hAnsi="Times New Roman"/>
          <w:b/>
          <w:sz w:val="28"/>
          <w:szCs w:val="28"/>
        </w:rPr>
        <w:t>D HOM PART I</w:t>
      </w:r>
      <w:r>
        <w:rPr>
          <w:rFonts w:ascii="Times New Roman" w:hAnsi="Times New Roman"/>
          <w:b/>
          <w:sz w:val="28"/>
          <w:szCs w:val="28"/>
        </w:rPr>
        <w:t xml:space="preserve"> Term </w:t>
      </w:r>
      <w:proofErr w:type="gramStart"/>
      <w:r>
        <w:rPr>
          <w:rFonts w:ascii="Times New Roman" w:hAnsi="Times New Roman"/>
          <w:b/>
          <w:sz w:val="28"/>
          <w:szCs w:val="28"/>
        </w:rPr>
        <w:t>II  (</w:t>
      </w:r>
      <w:proofErr w:type="gramEnd"/>
      <w:r w:rsidRPr="00571D03">
        <w:rPr>
          <w:rFonts w:ascii="Times New Roman" w:hAnsi="Times New Roman"/>
          <w:b/>
          <w:sz w:val="28"/>
          <w:szCs w:val="28"/>
        </w:rPr>
        <w:t>MODEL</w:t>
      </w:r>
      <w:r>
        <w:rPr>
          <w:rFonts w:ascii="Times New Roman" w:hAnsi="Times New Roman"/>
          <w:b/>
          <w:sz w:val="28"/>
          <w:szCs w:val="28"/>
        </w:rPr>
        <w:t>)</w:t>
      </w:r>
      <w:r w:rsidRPr="00571D03">
        <w:rPr>
          <w:rFonts w:ascii="Times New Roman" w:hAnsi="Times New Roman"/>
          <w:b/>
          <w:sz w:val="28"/>
          <w:szCs w:val="28"/>
        </w:rPr>
        <w:t xml:space="preserve"> EXAMINATION</w:t>
      </w:r>
    </w:p>
    <w:p w:rsidR="00DF1717" w:rsidRDefault="00DF1717" w:rsidP="00DF1717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"/>
          <w:szCs w:val="2"/>
        </w:rPr>
      </w:pPr>
      <w:r>
        <w:rPr>
          <w:rFonts w:ascii="Times New Roman" w:hAnsi="Times New Roman"/>
          <w:b/>
          <w:sz w:val="26"/>
          <w:szCs w:val="26"/>
        </w:rPr>
        <w:t>April 2025</w:t>
      </w:r>
    </w:p>
    <w:p w:rsidR="00DF1717" w:rsidRPr="00462618" w:rsidRDefault="00DF1717" w:rsidP="00DF1717">
      <w:pPr>
        <w:tabs>
          <w:tab w:val="left" w:pos="3000"/>
        </w:tabs>
        <w:spacing w:after="0"/>
        <w:rPr>
          <w:rFonts w:ascii="Times New Roman" w:hAnsi="Times New Roman"/>
          <w:b/>
          <w:sz w:val="26"/>
          <w:szCs w:val="26"/>
        </w:rPr>
      </w:pPr>
    </w:p>
    <w:p w:rsidR="00DF1717" w:rsidRPr="007434A9" w:rsidRDefault="00DF1717" w:rsidP="00DF1717">
      <w:pPr>
        <w:tabs>
          <w:tab w:val="left" w:pos="133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Paper III – Advanced Teaching of Fundamentals of Homoeopathy</w:t>
      </w:r>
    </w:p>
    <w:p w:rsidR="00DF1717" w:rsidRPr="007434A9" w:rsidRDefault="00DF1717" w:rsidP="00DF1717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Answer All</w:t>
      </w:r>
      <w:r w:rsidRPr="007434A9">
        <w:rPr>
          <w:rFonts w:ascii="Times New Roman" w:hAnsi="Times New Roman"/>
          <w:b/>
        </w:rPr>
        <w:t xml:space="preserve"> Questions</w:t>
      </w:r>
    </w:p>
    <w:p w:rsidR="00DF1717" w:rsidRDefault="00DF1717" w:rsidP="00DF1717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462618">
        <w:rPr>
          <w:rFonts w:ascii="Arial Narrow" w:hAnsi="Arial Narrow"/>
          <w:b/>
          <w:sz w:val="24"/>
          <w:szCs w:val="24"/>
        </w:rPr>
        <w:t>Essay Questions:</w:t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  <w:t>(2 x 20 = 40)</w:t>
      </w:r>
    </w:p>
    <w:p w:rsidR="00DF1717" w:rsidRPr="002A7BDD" w:rsidRDefault="00DF1717" w:rsidP="00DF1717">
      <w:pPr>
        <w:rPr>
          <w:rFonts w:ascii="Arial Narrow" w:hAnsi="Arial Narrow"/>
          <w:b/>
          <w:sz w:val="24"/>
          <w:szCs w:val="24"/>
        </w:rPr>
      </w:pPr>
    </w:p>
    <w:p w:rsidR="00DF1717" w:rsidRPr="00462618" w:rsidRDefault="00DF1717" w:rsidP="00DF171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25 year old female, presented with lymph node enlargement of right side of the neck with history of recurrent attack of </w:t>
      </w:r>
      <w:proofErr w:type="spell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fever.Blood</w:t>
      </w:r>
      <w:proofErr w:type="spell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investigation shows </w:t>
      </w:r>
      <w:proofErr w:type="gram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a depletion</w:t>
      </w:r>
      <w:proofErr w:type="gram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in the lymphocyte count and an elevation of ESR. What is the most probable diagnosis? Write the confirmatory investigation and the management. </w:t>
      </w:r>
      <w:proofErr w:type="spell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Analyse</w:t>
      </w:r>
      <w:proofErr w:type="spell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the miasmatic background and the prognosis with a discussion on the philosophy of the potency selection and repetition in this case</w:t>
      </w:r>
    </w:p>
    <w:p w:rsidR="00DF1717" w:rsidRPr="00462618" w:rsidRDefault="00DF1717" w:rsidP="00DF1717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DF1717" w:rsidRPr="002A7BDD" w:rsidRDefault="00DF1717" w:rsidP="00DF1717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A 45 year old farmer presented with sudden rise of temperature (103deg F</w:t>
      </w:r>
      <w:r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), </w:t>
      </w:r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fatigue, </w:t>
      </w:r>
      <w:proofErr w:type="gram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pain</w:t>
      </w:r>
      <w:proofErr w:type="gram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in the right calf </w:t>
      </w:r>
      <w:proofErr w:type="spell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muscle.On</w:t>
      </w:r>
      <w:proofErr w:type="spell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examination there was </w:t>
      </w:r>
      <w:proofErr w:type="spell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conjunctival</w:t>
      </w:r>
      <w:proofErr w:type="spell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congestion with </w:t>
      </w:r>
      <w:proofErr w:type="spell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maculopapular</w:t>
      </w:r>
      <w:proofErr w:type="spell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rash all over the skin. </w:t>
      </w:r>
      <w:proofErr w:type="spell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Bilirubin</w:t>
      </w:r>
      <w:proofErr w:type="spell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level is high on random test. What about the probable diagnosis and enlist the primary investigation to be done? </w:t>
      </w:r>
      <w:proofErr w:type="spellStart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>Analyse</w:t>
      </w:r>
      <w:proofErr w:type="spellEnd"/>
      <w:r w:rsidRPr="00462618">
        <w:rPr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the case in Homoeopathic perspective.</w:t>
      </w:r>
    </w:p>
    <w:p w:rsidR="00DF1717" w:rsidRPr="00462618" w:rsidRDefault="00DF1717" w:rsidP="00DF1717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4"/>
          <w:szCs w:val="24"/>
        </w:rPr>
      </w:pPr>
      <w:r w:rsidRPr="00462618">
        <w:rPr>
          <w:rFonts w:ascii="Arial Narrow" w:hAnsi="Arial Narrow"/>
          <w:b/>
          <w:sz w:val="24"/>
          <w:szCs w:val="24"/>
        </w:rPr>
        <w:t>Write short notes on:</w:t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</w:r>
      <w:r w:rsidRPr="00462618">
        <w:rPr>
          <w:rFonts w:ascii="Arial Narrow" w:hAnsi="Arial Narrow"/>
          <w:b/>
          <w:sz w:val="24"/>
          <w:szCs w:val="24"/>
        </w:rPr>
        <w:tab/>
        <w:t>(10 x 6 = 60)</w:t>
      </w:r>
    </w:p>
    <w:p w:rsidR="00DF1717" w:rsidRPr="00462618" w:rsidRDefault="00DF1717" w:rsidP="00DF1717">
      <w:pPr>
        <w:pStyle w:val="ListParagraph"/>
        <w:ind w:left="1080"/>
        <w:rPr>
          <w:rFonts w:ascii="Arial Narrow" w:hAnsi="Arial Narrow"/>
          <w:b/>
          <w:sz w:val="24"/>
          <w:szCs w:val="24"/>
        </w:rPr>
      </w:pP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 xml:space="preserve">Concepts of </w:t>
      </w:r>
      <w:proofErr w:type="spellStart"/>
      <w:r w:rsidRPr="00462618">
        <w:rPr>
          <w:rFonts w:ascii="Arial Narrow" w:hAnsi="Arial Narrow"/>
          <w:sz w:val="24"/>
          <w:szCs w:val="24"/>
        </w:rPr>
        <w:t>dynamisation</w:t>
      </w:r>
      <w:proofErr w:type="spellEnd"/>
      <w:r w:rsidRPr="00462618">
        <w:rPr>
          <w:rFonts w:ascii="Arial Narrow" w:hAnsi="Arial Narrow"/>
          <w:sz w:val="24"/>
          <w:szCs w:val="24"/>
        </w:rPr>
        <w:t xml:space="preserve"> in different editions of </w:t>
      </w:r>
      <w:proofErr w:type="spellStart"/>
      <w:r w:rsidRPr="00462618">
        <w:rPr>
          <w:rFonts w:ascii="Arial Narrow" w:hAnsi="Arial Narrow"/>
          <w:sz w:val="24"/>
          <w:szCs w:val="24"/>
        </w:rPr>
        <w:t>Organon</w:t>
      </w:r>
      <w:proofErr w:type="spellEnd"/>
      <w:r w:rsidRPr="00462618">
        <w:rPr>
          <w:rFonts w:ascii="Arial Narrow" w:hAnsi="Arial Narrow"/>
          <w:sz w:val="24"/>
          <w:szCs w:val="24"/>
        </w:rPr>
        <w:t xml:space="preserve"> of Medicine.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>Recall the Cinchona trial and evolution of Homoeopathy.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>Compare Homoeopathic and Medicinal aggravation as part of case follow up.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>Elaborate on the principles of health education.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 xml:space="preserve">Explain sources of Homoeopathic </w:t>
      </w:r>
      <w:proofErr w:type="spellStart"/>
      <w:r w:rsidRPr="00462618">
        <w:rPr>
          <w:rFonts w:ascii="Arial Narrow" w:hAnsi="Arial Narrow"/>
          <w:sz w:val="24"/>
          <w:szCs w:val="24"/>
        </w:rPr>
        <w:t>Materia</w:t>
      </w:r>
      <w:proofErr w:type="spellEnd"/>
      <w:r w:rsidRPr="0046261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62618">
        <w:rPr>
          <w:rFonts w:ascii="Arial Narrow" w:hAnsi="Arial Narrow"/>
          <w:sz w:val="24"/>
          <w:szCs w:val="24"/>
        </w:rPr>
        <w:t>Medica</w:t>
      </w:r>
      <w:proofErr w:type="spellEnd"/>
      <w:r w:rsidRPr="00462618">
        <w:rPr>
          <w:rFonts w:ascii="Arial Narrow" w:hAnsi="Arial Narrow"/>
          <w:sz w:val="24"/>
          <w:szCs w:val="24"/>
        </w:rPr>
        <w:t>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 xml:space="preserve">Substantiate the statement by Stuart </w:t>
      </w:r>
      <w:proofErr w:type="spellStart"/>
      <w:r w:rsidRPr="00462618">
        <w:rPr>
          <w:rFonts w:ascii="Arial Narrow" w:hAnsi="Arial Narrow"/>
          <w:sz w:val="24"/>
          <w:szCs w:val="24"/>
        </w:rPr>
        <w:t>Close“Placebo</w:t>
      </w:r>
      <w:proofErr w:type="spellEnd"/>
      <w:r w:rsidRPr="00462618">
        <w:rPr>
          <w:rFonts w:ascii="Arial Narrow" w:hAnsi="Arial Narrow"/>
          <w:sz w:val="24"/>
          <w:szCs w:val="24"/>
        </w:rPr>
        <w:t xml:space="preserve"> is the second best prescription”.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>Evolve about constitutions through repertories.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>Basis of selection of potency.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>Construction of Kent’s Repertory.</w:t>
      </w:r>
    </w:p>
    <w:p w:rsidR="00DF1717" w:rsidRPr="00462618" w:rsidRDefault="00DF1717" w:rsidP="00DF1717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 w:rsidRPr="00462618">
        <w:rPr>
          <w:rFonts w:ascii="Arial Narrow" w:hAnsi="Arial Narrow"/>
          <w:sz w:val="24"/>
          <w:szCs w:val="24"/>
        </w:rPr>
        <w:t>Discuss the domains of Bloom’s taxonomy of educational objectives.</w:t>
      </w:r>
    </w:p>
    <w:p w:rsidR="00DF1717" w:rsidRPr="00462618" w:rsidRDefault="00DF1717" w:rsidP="00DF1717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DF1717" w:rsidRPr="00462618" w:rsidRDefault="00DF1717" w:rsidP="00DF1717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DF1717" w:rsidRDefault="00DF1717" w:rsidP="00DF1717">
      <w:pPr>
        <w:pStyle w:val="ListParagraph"/>
        <w:ind w:left="14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********</w:t>
      </w:r>
    </w:p>
    <w:p w:rsidR="00B818B8" w:rsidRDefault="00B818B8"/>
    <w:sectPr w:rsidR="00B818B8" w:rsidSect="004B4B34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A0063"/>
    <w:multiLevelType w:val="hybridMultilevel"/>
    <w:tmpl w:val="B1DA67FA"/>
    <w:lvl w:ilvl="0" w:tplc="8CA8A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F6052"/>
    <w:multiLevelType w:val="hybridMultilevel"/>
    <w:tmpl w:val="AB52E79C"/>
    <w:lvl w:ilvl="0" w:tplc="7F126A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EE7B94"/>
    <w:multiLevelType w:val="hybridMultilevel"/>
    <w:tmpl w:val="7AF69BE4"/>
    <w:lvl w:ilvl="0" w:tplc="BAB677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1717"/>
    <w:rsid w:val="00B818B8"/>
    <w:rsid w:val="00D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71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2026-01-20T06:44:00Z</dcterms:created>
  <dcterms:modified xsi:type="dcterms:W3CDTF">2026-01-20T06:44:00Z</dcterms:modified>
</cp:coreProperties>
</file>